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 w:val="0"/>
        <w:spacing w:line="600" w:lineRule="exact"/>
        <w:outlineLvl w:val="0"/>
        <w:rPr>
          <w:rFonts w:ascii="仿宋_GB2312" w:hAnsi="仿宋" w:eastAsia="仿宋_GB2312" w:cs="宋体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附件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-2：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顺义区创新创业型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  <w:lang w:eastAsia="zh-CN"/>
        </w:rPr>
        <w:t>苗圃</w:t>
      </w:r>
      <w:r>
        <w:rPr>
          <w:rFonts w:hint="eastAsia" w:ascii="仿宋_GB2312" w:hAnsi="仿宋" w:eastAsia="仿宋_GB2312" w:cs="宋体"/>
          <w:b/>
          <w:bCs/>
          <w:sz w:val="32"/>
          <w:szCs w:val="32"/>
          <w:shd w:val="clear" w:color="auto" w:fill="FFFFFF"/>
        </w:rPr>
        <w:t>企业评价指标</w:t>
      </w:r>
    </w:p>
    <w:tbl>
      <w:tblPr>
        <w:tblStyle w:val="4"/>
        <w:tblW w:w="829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3"/>
        <w:gridCol w:w="485"/>
        <w:gridCol w:w="585"/>
        <w:gridCol w:w="2878"/>
        <w:gridCol w:w="284"/>
        <w:gridCol w:w="567"/>
        <w:gridCol w:w="567"/>
        <w:gridCol w:w="567"/>
        <w:gridCol w:w="567"/>
        <w:gridCol w:w="12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指标详情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基本分值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满分分值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基本要求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满分要求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总体要求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  <w:jc w:val="center"/>
        </w:trPr>
        <w:tc>
          <w:tcPr>
            <w:tcW w:w="5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经营指标</w:t>
            </w:r>
          </w:p>
        </w:tc>
        <w:tc>
          <w:tcPr>
            <w:tcW w:w="4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营业收入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企业营业收入不低于1000万元，且营业收入增长。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1000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5000</w:t>
            </w:r>
          </w:p>
        </w:tc>
        <w:tc>
          <w:tcPr>
            <w:tcW w:w="12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否定性指标。取三项中得分最高项。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净利润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企业净利润不低于200万元，且净利润增长。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200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1000</w:t>
            </w:r>
          </w:p>
        </w:tc>
        <w:tc>
          <w:tcPr>
            <w:tcW w:w="12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企业估值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企业最新一轮融资估值不低于5000万元。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5000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105" w:leftChars="-50" w:right="-105" w:rightChars="-5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30000</w:t>
            </w:r>
          </w:p>
        </w:tc>
        <w:tc>
          <w:tcPr>
            <w:tcW w:w="12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技术指标</w:t>
            </w:r>
          </w:p>
        </w:tc>
        <w:tc>
          <w:tcPr>
            <w:tcW w:w="4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技术水平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授权发明专利、首台套产品认定、新技术新产品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认定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(医药企业拥有器械或药品品类注册证、集成电路企业布图设计等)数量。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20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12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否定性指标。取两项中得分最高项。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其他知识产权（如软件著作权，实用新型、外观专利等)数量。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15</w:t>
            </w:r>
          </w:p>
        </w:tc>
        <w:tc>
          <w:tcPr>
            <w:tcW w:w="12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创新能力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企业从业人员中硕士研究生（含）以上学历人数。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人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20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研发投入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年、202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年企业研发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支出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占营业收入的平均比重不低于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%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企业资质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企业所获技术，质量，工程，环保，安全等资质或资格认定的数量。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3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国际认证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主导产品通过发达国家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地区认证（国际标准协会行业认证）数量。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荣誉称号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获得顺义区、市级及以上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创业大赛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荣誉或奖项数量。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低于基本要求不得分。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加分项</w:t>
            </w:r>
          </w:p>
        </w:tc>
        <w:tc>
          <w:tcPr>
            <w:tcW w:w="48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标准制定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2021年、2022年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企业主持或参与制（修）订相关领域国际标准、国家标准、团体标准、行业标准或地方标准数量。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项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1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成长性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企业成立时间或注册地变更至顺义区时间。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≤5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≤5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83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</w:rPr>
              <w:t>企业信用</w:t>
            </w:r>
          </w:p>
        </w:tc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2021年或2022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入选信用中国（北京）红名单。</w:t>
            </w:r>
          </w:p>
        </w:tc>
        <w:tc>
          <w:tcPr>
            <w:tcW w:w="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是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  <w:t>是</w:t>
            </w:r>
          </w:p>
        </w:tc>
        <w:tc>
          <w:tcPr>
            <w:tcW w:w="1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2313C"/>
    <w:rsid w:val="01204703"/>
    <w:rsid w:val="099505A9"/>
    <w:rsid w:val="1E970B39"/>
    <w:rsid w:val="33D2313C"/>
    <w:rsid w:val="3BF04C52"/>
    <w:rsid w:val="4AC975BD"/>
    <w:rsid w:val="65916E61"/>
    <w:rsid w:val="674825EE"/>
    <w:rsid w:val="73A2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仿宋_GB2312"/>
      <w:b/>
      <w:bCs/>
      <w:sz w:val="44"/>
    </w:rPr>
  </w:style>
  <w:style w:type="paragraph" w:styleId="3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2021-05-29T12:47:00Z</dcterms:created>
  <dc:creator>小福</dc:creator>
  <cp:lastModifiedBy>zxqy</cp:lastModifiedBy>
  <cp:lastPrinted>2021-07-08T07:46:00Z</cp:lastPrinted>
  <dcterms:modified xsi:type="dcterms:W3CDTF">2023-02-02T06:19:13Z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51420CCC074848FDBF6A792CB1851D6B</vt:lpwstr>
  </property>
</Properties>
</file>